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38" w:rsidRPr="00F73318" w:rsidRDefault="00F73318" w:rsidP="00A81A38">
      <w:pPr>
        <w:pStyle w:val="Header"/>
        <w:jc w:val="center"/>
        <w:rPr>
          <w:b/>
          <w:noProof/>
          <w:sz w:val="28"/>
          <w:szCs w:val="28"/>
        </w:rPr>
      </w:pPr>
      <w:r>
        <w:rPr>
          <w:b/>
          <w:noProof/>
          <w:sz w:val="28"/>
          <w:szCs w:val="28"/>
        </w:rPr>
        <w:drawing>
          <wp:inline distT="0" distB="0" distL="0" distR="0">
            <wp:extent cx="1800225" cy="1223094"/>
            <wp:effectExtent l="19050" t="0" r="9525" b="0"/>
            <wp:docPr id="1" name="Picture 0" descr="DFF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FI-Logo.jpg"/>
                    <pic:cNvPicPr/>
                  </pic:nvPicPr>
                  <pic:blipFill>
                    <a:blip r:embed="rId8" cstate="print"/>
                    <a:stretch>
                      <a:fillRect/>
                    </a:stretch>
                  </pic:blipFill>
                  <pic:spPr>
                    <a:xfrm>
                      <a:off x="0" y="0"/>
                      <a:ext cx="1800225" cy="1223094"/>
                    </a:xfrm>
                    <a:prstGeom prst="rect">
                      <a:avLst/>
                    </a:prstGeom>
                  </pic:spPr>
                </pic:pic>
              </a:graphicData>
            </a:graphic>
          </wp:inline>
        </w:drawing>
      </w:r>
    </w:p>
    <w:p w:rsidR="0055041B" w:rsidRPr="00A81A38" w:rsidRDefault="00A81A38" w:rsidP="00A81A38">
      <w:pPr>
        <w:pStyle w:val="Header"/>
        <w:jc w:val="center"/>
        <w:rPr>
          <w:b/>
          <w:noProof/>
          <w:sz w:val="28"/>
          <w:szCs w:val="28"/>
        </w:rPr>
      </w:pPr>
      <w:r>
        <w:rPr>
          <w:rFonts w:ascii="Arial" w:hAnsi="Arial" w:cs="Arial"/>
          <w:b/>
          <w:sz w:val="28"/>
          <w:szCs w:val="28"/>
        </w:rPr>
        <w:br/>
      </w:r>
      <w:r w:rsidR="00A80DA0" w:rsidRPr="00A81A38">
        <w:rPr>
          <w:rFonts w:ascii="Arial" w:hAnsi="Arial" w:cs="Arial"/>
          <w:b/>
          <w:sz w:val="28"/>
          <w:szCs w:val="28"/>
        </w:rPr>
        <w:t>COMMUNITY IMPACT</w:t>
      </w:r>
      <w:r w:rsidR="00E50D41">
        <w:rPr>
          <w:rFonts w:ascii="Arial" w:hAnsi="Arial" w:cs="Arial"/>
          <w:b/>
          <w:sz w:val="28"/>
          <w:szCs w:val="28"/>
        </w:rPr>
        <w:t xml:space="preserve"> 2012-2013</w:t>
      </w:r>
    </w:p>
    <w:p w:rsidR="00A81A38" w:rsidRDefault="0082594A" w:rsidP="00B00CD3">
      <w:pPr>
        <w:spacing w:after="0" w:line="276" w:lineRule="auto"/>
        <w:contextualSpacing/>
        <w:jc w:val="center"/>
        <w:rPr>
          <w:rFonts w:ascii="Arial" w:eastAsia="Times New Roman" w:hAnsi="Arial" w:cs="Arial"/>
          <w:sz w:val="20"/>
          <w:szCs w:val="20"/>
        </w:rPr>
      </w:pPr>
      <w:r w:rsidRPr="0082594A">
        <w:rPr>
          <w:rFonts w:ascii="Arial" w:eastAsiaTheme="minorEastAsia" w:hAnsi="Arial"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5pt;margin-top:5.7pt;width:508.35pt;height:0;z-index:251658240;mso-position-horizontal-relative:text;mso-position-vertical-relative:text" o:connectortype="straight" strokecolor="#bfbfbf [2412]" strokeweight="2.25pt"/>
        </w:pict>
      </w:r>
    </w:p>
    <w:p w:rsidR="00D06A7D" w:rsidRDefault="00D06A7D" w:rsidP="000C5E85">
      <w:pPr>
        <w:spacing w:after="0"/>
        <w:jc w:val="center"/>
        <w:rPr>
          <w:rFonts w:ascii="Arial" w:eastAsiaTheme="minorEastAsia" w:hAnsi="Arial" w:cs="Arial"/>
        </w:rPr>
      </w:pPr>
    </w:p>
    <w:p w:rsidR="000C5E85" w:rsidRPr="005D3C04" w:rsidRDefault="005D3C04" w:rsidP="000C5E85">
      <w:pPr>
        <w:spacing w:after="0"/>
        <w:rPr>
          <w:rFonts w:ascii="Arial" w:eastAsiaTheme="minorEastAsia" w:hAnsi="Arial" w:cs="Arial"/>
          <w:b/>
        </w:rPr>
      </w:pPr>
      <w:r w:rsidRPr="005D3C04">
        <w:rPr>
          <w:rFonts w:ascii="Arial" w:eastAsiaTheme="minorEastAsia" w:hAnsi="Arial" w:cs="Arial"/>
          <w:b/>
        </w:rPr>
        <w:t>DELTA FRESH FOODS INITIATIVE</w:t>
      </w:r>
      <w:r w:rsidR="00203F6C">
        <w:rPr>
          <w:rFonts w:ascii="Arial" w:eastAsiaTheme="minorEastAsia" w:hAnsi="Arial" w:cs="Arial"/>
          <w:b/>
        </w:rPr>
        <w:t xml:space="preserve"> (DFFI) </w:t>
      </w:r>
      <w:r w:rsidRPr="005D3C04">
        <w:rPr>
          <w:rFonts w:ascii="Arial" w:eastAsiaTheme="minorEastAsia" w:hAnsi="Arial" w:cs="Arial"/>
          <w:b/>
        </w:rPr>
        <w:t>– COMMUNITY PROJECTS</w:t>
      </w:r>
    </w:p>
    <w:p w:rsidR="000C5E85" w:rsidRPr="0055041B" w:rsidRDefault="000C5E85" w:rsidP="00F36476">
      <w:pPr>
        <w:autoSpaceDE w:val="0"/>
        <w:autoSpaceDN w:val="0"/>
        <w:adjustRightInd w:val="0"/>
        <w:rPr>
          <w:rFonts w:ascii="Arial" w:eastAsiaTheme="minorEastAsia" w:hAnsi="Arial" w:cs="Arial"/>
        </w:rPr>
      </w:pPr>
      <w:r w:rsidRPr="0055041B">
        <w:rPr>
          <w:rFonts w:ascii="Arial" w:eastAsiaTheme="minorEastAsia" w:hAnsi="Arial" w:cs="Arial"/>
        </w:rPr>
        <w:t xml:space="preserve">Delta Fresh Food Initiative has taken a capacity building approach to the development of community projects. Building infrastructure for local farmers transitioning to sustainable methods, supporting trainings for new growers, developing farmers’ markets and the use of EBT to purchase local produce are all strategies deeply rooted in pre-existing community assets. </w:t>
      </w:r>
      <w:r w:rsidR="00F36476" w:rsidRPr="00F36476">
        <w:rPr>
          <w:rFonts w:ascii="Arial" w:eastAsiaTheme="minorEastAsia" w:hAnsi="Arial" w:cs="Arial"/>
        </w:rPr>
        <w:t xml:space="preserve">Farm to School (F2S) is also identified as a key strategy in DFFI’s Strategic Plan.  Our mission to build strong local food systems includes this focused effort to increase production of locally grown foods and to get </w:t>
      </w:r>
      <w:proofErr w:type="gramStart"/>
      <w:r w:rsidR="00F36476" w:rsidRPr="00F36476">
        <w:rPr>
          <w:rFonts w:ascii="Arial" w:eastAsiaTheme="minorEastAsia" w:hAnsi="Arial" w:cs="Arial"/>
        </w:rPr>
        <w:t>more fresh</w:t>
      </w:r>
      <w:proofErr w:type="gramEnd"/>
      <w:r w:rsidR="00F36476" w:rsidRPr="00F36476">
        <w:rPr>
          <w:rFonts w:ascii="Arial" w:eastAsiaTheme="minorEastAsia" w:hAnsi="Arial" w:cs="Arial"/>
        </w:rPr>
        <w:t>, local food into sch</w:t>
      </w:r>
      <w:r w:rsidR="00F36476">
        <w:rPr>
          <w:rFonts w:ascii="Arial" w:eastAsiaTheme="minorEastAsia" w:hAnsi="Arial" w:cs="Arial"/>
        </w:rPr>
        <w:t xml:space="preserve">ool cafeterias in the MS Delta. </w:t>
      </w:r>
      <w:r w:rsidRPr="0055041B">
        <w:rPr>
          <w:rFonts w:ascii="Arial" w:eastAsiaTheme="minorEastAsia" w:hAnsi="Arial" w:cs="Arial"/>
        </w:rPr>
        <w:t>Following are</w:t>
      </w:r>
      <w:r w:rsidR="00F36476">
        <w:rPr>
          <w:rFonts w:ascii="Arial" w:eastAsiaTheme="minorEastAsia" w:hAnsi="Arial" w:cs="Arial"/>
        </w:rPr>
        <w:t xml:space="preserve"> highlights from the Delta Fresh Farm to School project.</w:t>
      </w:r>
      <w:r w:rsidRPr="0055041B">
        <w:rPr>
          <w:rFonts w:ascii="Arial" w:eastAsiaTheme="minorEastAsia" w:hAnsi="Arial" w:cs="Arial"/>
        </w:rPr>
        <w:t xml:space="preserve"> </w:t>
      </w:r>
    </w:p>
    <w:p w:rsidR="00D06A7D" w:rsidRDefault="00D06A7D" w:rsidP="000C5E85">
      <w:pPr>
        <w:spacing w:after="0"/>
        <w:ind w:left="360"/>
        <w:contextualSpacing/>
        <w:rPr>
          <w:rFonts w:ascii="Arial" w:eastAsiaTheme="minorEastAsia" w:hAnsi="Arial" w:cs="Arial"/>
          <w:b/>
        </w:rPr>
      </w:pPr>
    </w:p>
    <w:p w:rsidR="00E50D41" w:rsidRPr="00E50D41" w:rsidRDefault="000C5E85" w:rsidP="00F36476">
      <w:pPr>
        <w:spacing w:after="0"/>
        <w:ind w:right="504"/>
        <w:contextualSpacing/>
        <w:rPr>
          <w:rFonts w:ascii="Arial" w:eastAsiaTheme="minorEastAsia" w:hAnsi="Arial" w:cs="Arial"/>
          <w:b/>
        </w:rPr>
      </w:pPr>
      <w:r w:rsidRPr="0055041B">
        <w:rPr>
          <w:rFonts w:ascii="Arial" w:eastAsiaTheme="minorEastAsia" w:hAnsi="Arial" w:cs="Arial"/>
          <w:b/>
        </w:rPr>
        <w:t>Delta Fresh Farm to School</w:t>
      </w:r>
      <w:r w:rsidR="00F36476">
        <w:rPr>
          <w:rFonts w:ascii="Arial" w:eastAsiaTheme="minorEastAsia" w:hAnsi="Arial" w:cs="Arial"/>
          <w:b/>
        </w:rPr>
        <w:t xml:space="preserve"> project</w:t>
      </w:r>
    </w:p>
    <w:p w:rsidR="00F36476" w:rsidRDefault="00F36476" w:rsidP="00F36476">
      <w:pPr>
        <w:autoSpaceDE w:val="0"/>
        <w:autoSpaceDN w:val="0"/>
        <w:adjustRightInd w:val="0"/>
        <w:rPr>
          <w:rFonts w:ascii="Garamond" w:hAnsi="Garamond" w:cs="Garamond"/>
        </w:rPr>
      </w:pPr>
      <w:r>
        <w:rPr>
          <w:rFonts w:ascii="Garamond" w:hAnsi="Garamond" w:cs="Garamond"/>
        </w:rPr>
        <w:t>Our Delta Fresh Farm to School pilot projects demonstrated that sourcing local foods provides opportunities for economic development, improved health and nutrition and social equity in the MS Delta.  Further, our pilot F2S efforts helped food service directors overcome barriers and fears about sourcing locally.   To this end we partnered with MS Food Policy Council on the development of a purchasing guide for food service directors which provides step by step instructions and answers to FAQ’s to de-mystify local sourcing.</w:t>
      </w:r>
    </w:p>
    <w:p w:rsidR="00E50D41" w:rsidRDefault="00E50D41" w:rsidP="00E50D41">
      <w:pPr>
        <w:autoSpaceDE w:val="0"/>
        <w:autoSpaceDN w:val="0"/>
        <w:adjustRightInd w:val="0"/>
        <w:rPr>
          <w:rFonts w:ascii="Garamond" w:hAnsi="Garamond" w:cs="Garamond"/>
        </w:rPr>
      </w:pPr>
      <w:r>
        <w:rPr>
          <w:rFonts w:ascii="Garamond" w:hAnsi="Garamond" w:cs="Garamond"/>
        </w:rPr>
        <w:t xml:space="preserve">Over the past year, DFFI has laid the foundation for a strong Farm to School Network connecting food service directors and local growers in the rural MS Delta.  Successful pilot projects last fall focused on three school districts with a combined total of nearly 6,000 students where we kicked off Mississippi’s first ever “Farm to School Week” by facilitating sales of nearly 10,000# of fresh, locally grown watermelon, sweet potatoes and turnip greens equaling 14,200 servings. </w:t>
      </w:r>
    </w:p>
    <w:p w:rsidR="00E50D41" w:rsidRDefault="00E50D41" w:rsidP="00E50D41">
      <w:pPr>
        <w:autoSpaceDE w:val="0"/>
        <w:autoSpaceDN w:val="0"/>
        <w:adjustRightInd w:val="0"/>
        <w:rPr>
          <w:rFonts w:ascii="Garamond" w:hAnsi="Garamond" w:cs="Garamond"/>
        </w:rPr>
      </w:pPr>
    </w:p>
    <w:p w:rsidR="00E50D41" w:rsidRDefault="00E50D41" w:rsidP="00E50D41">
      <w:pPr>
        <w:autoSpaceDE w:val="0"/>
        <w:autoSpaceDN w:val="0"/>
        <w:adjustRightInd w:val="0"/>
        <w:rPr>
          <w:rFonts w:ascii="Garamond" w:hAnsi="Garamond" w:cs="Garamond"/>
        </w:rPr>
      </w:pPr>
      <w:r>
        <w:rPr>
          <w:rFonts w:ascii="Garamond" w:hAnsi="Garamond" w:cs="Garamond"/>
        </w:rPr>
        <w:t xml:space="preserve">DFFI partnered with the MS Food Policy Council to convene a statewide conference promoting Farm to School in October 2012.  150 participants including food service directors, local growers and grower groups, health and </w:t>
      </w:r>
      <w:proofErr w:type="spellStart"/>
      <w:proofErr w:type="gramStart"/>
      <w:r>
        <w:rPr>
          <w:rFonts w:ascii="Garamond" w:hAnsi="Garamond" w:cs="Garamond"/>
        </w:rPr>
        <w:t>ag</w:t>
      </w:r>
      <w:proofErr w:type="spellEnd"/>
      <w:proofErr w:type="gramEnd"/>
      <w:r>
        <w:rPr>
          <w:rFonts w:ascii="Garamond" w:hAnsi="Garamond" w:cs="Garamond"/>
        </w:rPr>
        <w:t xml:space="preserve"> educators and local food advocates spent a full day in training and networking workshops to foster coordination and growth of farm to school efforts.</w:t>
      </w:r>
    </w:p>
    <w:p w:rsidR="00E50D41" w:rsidRDefault="00E50D41" w:rsidP="00E50D41">
      <w:pPr>
        <w:autoSpaceDE w:val="0"/>
        <w:autoSpaceDN w:val="0"/>
        <w:adjustRightInd w:val="0"/>
        <w:rPr>
          <w:rFonts w:ascii="Garamond" w:hAnsi="Garamond" w:cs="Garamond"/>
        </w:rPr>
      </w:pPr>
    </w:p>
    <w:p w:rsidR="00E50D41" w:rsidRDefault="00E50D41" w:rsidP="00E50D41">
      <w:pPr>
        <w:autoSpaceDE w:val="0"/>
        <w:autoSpaceDN w:val="0"/>
        <w:adjustRightInd w:val="0"/>
        <w:rPr>
          <w:rFonts w:ascii="Garamond" w:hAnsi="Garamond" w:cs="Garamond"/>
        </w:rPr>
      </w:pPr>
      <w:r>
        <w:rPr>
          <w:rFonts w:ascii="Garamond" w:hAnsi="Garamond" w:cs="Garamond"/>
        </w:rPr>
        <w:t>At the DFFI Harvest Celebration in late October 2012, local farm to school efforts were recognized for their pioneering efforts to increase the quantity of local foods in their school cafeterias.</w:t>
      </w:r>
    </w:p>
    <w:p w:rsidR="00E50D41" w:rsidRDefault="00E50D41" w:rsidP="00E50D41">
      <w:pPr>
        <w:autoSpaceDE w:val="0"/>
        <w:autoSpaceDN w:val="0"/>
        <w:adjustRightInd w:val="0"/>
        <w:rPr>
          <w:rFonts w:ascii="Garamond" w:hAnsi="Garamond" w:cs="Garamond"/>
        </w:rPr>
      </w:pPr>
    </w:p>
    <w:p w:rsidR="00E50D41" w:rsidRDefault="00E50D41" w:rsidP="00E50D41">
      <w:pPr>
        <w:autoSpaceDE w:val="0"/>
        <w:autoSpaceDN w:val="0"/>
        <w:adjustRightInd w:val="0"/>
        <w:rPr>
          <w:rFonts w:ascii="Garamond" w:hAnsi="Garamond" w:cs="Garamond"/>
        </w:rPr>
      </w:pPr>
      <w:r>
        <w:rPr>
          <w:rFonts w:ascii="Garamond" w:hAnsi="Garamond" w:cs="Garamond"/>
        </w:rPr>
        <w:t xml:space="preserve">DFFI conducted an on farm workshop in April 2013 where 26 participants including food service directors were introduced to the benefits of purchasing sustainably grown fresh produce and connections were made with local growers eager to partner with schools in their communities.   </w:t>
      </w:r>
    </w:p>
    <w:p w:rsidR="00E50D41" w:rsidRDefault="00E50D41" w:rsidP="00E50D41">
      <w:pPr>
        <w:autoSpaceDE w:val="0"/>
        <w:autoSpaceDN w:val="0"/>
        <w:adjustRightInd w:val="0"/>
        <w:rPr>
          <w:rFonts w:ascii="Garamond" w:hAnsi="Garamond" w:cs="Garamond"/>
        </w:rPr>
      </w:pPr>
    </w:p>
    <w:p w:rsidR="00E50D41" w:rsidRDefault="00E50D41" w:rsidP="00E50D41">
      <w:pPr>
        <w:autoSpaceDE w:val="0"/>
        <w:autoSpaceDN w:val="0"/>
        <w:adjustRightInd w:val="0"/>
        <w:rPr>
          <w:rFonts w:ascii="Garamond" w:hAnsi="Garamond" w:cs="Garamond"/>
        </w:rPr>
      </w:pPr>
      <w:r>
        <w:rPr>
          <w:rFonts w:ascii="Garamond" w:hAnsi="Garamond" w:cs="Garamond"/>
        </w:rPr>
        <w:lastRenderedPageBreak/>
        <w:t xml:space="preserve">DFFI partnered with My </w:t>
      </w:r>
      <w:proofErr w:type="spellStart"/>
      <w:r>
        <w:rPr>
          <w:rFonts w:ascii="Garamond" w:hAnsi="Garamond" w:cs="Garamond"/>
        </w:rPr>
        <w:t>Brothers</w:t>
      </w:r>
      <w:proofErr w:type="spellEnd"/>
      <w:r>
        <w:rPr>
          <w:rFonts w:ascii="Garamond" w:hAnsi="Garamond" w:cs="Garamond"/>
        </w:rPr>
        <w:t xml:space="preserve"> Keeper to build or enhance six school gardens in the Delta during the past year.   Raised beds on these campuses give both students and faculty hands on opportunities to strengthen their understanding of fresh, nutritious food production and are an important component of our comprehensive F2S efforts.  </w:t>
      </w:r>
      <w:proofErr w:type="spellStart"/>
      <w:r>
        <w:rPr>
          <w:rFonts w:ascii="Garamond" w:hAnsi="Garamond" w:cs="Garamond"/>
        </w:rPr>
        <w:t>On going</w:t>
      </w:r>
      <w:proofErr w:type="spellEnd"/>
      <w:r>
        <w:rPr>
          <w:rFonts w:ascii="Garamond" w:hAnsi="Garamond" w:cs="Garamond"/>
        </w:rPr>
        <w:t xml:space="preserve"> partnership with My </w:t>
      </w:r>
      <w:proofErr w:type="spellStart"/>
      <w:r>
        <w:rPr>
          <w:rFonts w:ascii="Garamond" w:hAnsi="Garamond" w:cs="Garamond"/>
        </w:rPr>
        <w:t>Brothers</w:t>
      </w:r>
      <w:proofErr w:type="spellEnd"/>
      <w:r>
        <w:rPr>
          <w:rFonts w:ascii="Garamond" w:hAnsi="Garamond" w:cs="Garamond"/>
        </w:rPr>
        <w:t xml:space="preserve"> Keeper and others in the region adds solidarity and strength to a growing movement in the Delta to build sustainable, equitable, community based food systems in the MS Delta. </w:t>
      </w:r>
    </w:p>
    <w:p w:rsidR="00F36476" w:rsidRDefault="00F36476" w:rsidP="00E50D41">
      <w:pPr>
        <w:autoSpaceDE w:val="0"/>
        <w:autoSpaceDN w:val="0"/>
        <w:adjustRightInd w:val="0"/>
        <w:rPr>
          <w:rFonts w:ascii="Garamond" w:hAnsi="Garamond" w:cs="Garamond"/>
        </w:rPr>
      </w:pPr>
    </w:p>
    <w:p w:rsidR="00F36476" w:rsidRPr="00F36476" w:rsidRDefault="00F36476" w:rsidP="00F36476">
      <w:pPr>
        <w:spacing w:after="0"/>
        <w:ind w:right="504"/>
        <w:contextualSpacing/>
        <w:rPr>
          <w:rFonts w:ascii="Arial" w:eastAsiaTheme="minorEastAsia" w:hAnsi="Arial" w:cs="Arial"/>
          <w:b/>
        </w:rPr>
      </w:pPr>
      <w:r w:rsidRPr="00F36476">
        <w:rPr>
          <w:rFonts w:ascii="Arial" w:eastAsiaTheme="minorEastAsia" w:hAnsi="Arial" w:cs="Arial"/>
          <w:b/>
        </w:rPr>
        <w:t>OUTCOMES</w:t>
      </w:r>
    </w:p>
    <w:p w:rsidR="00E50D41" w:rsidRDefault="00F36476" w:rsidP="00E50D41">
      <w:pPr>
        <w:autoSpaceDE w:val="0"/>
        <w:autoSpaceDN w:val="0"/>
        <w:adjustRightInd w:val="0"/>
        <w:rPr>
          <w:rFonts w:ascii="Garamond" w:hAnsi="Garamond" w:cs="Garamond"/>
        </w:rPr>
      </w:pPr>
      <w:r>
        <w:rPr>
          <w:rFonts w:ascii="Garamond" w:hAnsi="Garamond" w:cs="Garamond"/>
        </w:rPr>
        <w:t>The Delta Fresh Farm to School project</w:t>
      </w:r>
      <w:r w:rsidR="00E50D41">
        <w:rPr>
          <w:rFonts w:ascii="Garamond" w:hAnsi="Garamond" w:cs="Garamond"/>
        </w:rPr>
        <w:t xml:space="preserve"> has impacted the lives of children who live in some of the poorest school districts in the MS Delta (Coahoma and Bolivar) by getting nutritious locally grown produce into school cafeterias.  In both these counties, nearly 100% of their students qualify for free and reduced school lunch.  </w:t>
      </w:r>
    </w:p>
    <w:p w:rsidR="00E50D41" w:rsidRDefault="00E50D41" w:rsidP="00E50D41">
      <w:pPr>
        <w:autoSpaceDE w:val="0"/>
        <w:autoSpaceDN w:val="0"/>
        <w:adjustRightInd w:val="0"/>
        <w:rPr>
          <w:rFonts w:ascii="Garamond" w:hAnsi="Garamond" w:cs="Garamond"/>
        </w:rPr>
      </w:pPr>
      <w:r>
        <w:rPr>
          <w:rFonts w:ascii="Garamond" w:hAnsi="Garamond"/>
        </w:rPr>
        <w:tab/>
      </w:r>
      <w:r>
        <w:rPr>
          <w:rFonts w:ascii="Garamond" w:hAnsi="Garamond"/>
        </w:rPr>
        <w:tab/>
        <w:t xml:space="preserve">  </w:t>
      </w:r>
      <w:r>
        <w:rPr>
          <w:rFonts w:ascii="Garamond" w:hAnsi="Garamond"/>
        </w:rPr>
        <w:tab/>
      </w:r>
      <w:r>
        <w:rPr>
          <w:rFonts w:ascii="Garamond" w:hAnsi="Garamond"/>
        </w:rPr>
        <w:tab/>
      </w:r>
    </w:p>
    <w:tbl>
      <w:tblPr>
        <w:tblW w:w="112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170"/>
        <w:gridCol w:w="1530"/>
        <w:gridCol w:w="1260"/>
        <w:gridCol w:w="1800"/>
        <w:gridCol w:w="1440"/>
        <w:gridCol w:w="1350"/>
        <w:gridCol w:w="1440"/>
      </w:tblGrid>
      <w:tr w:rsidR="00E50D41" w:rsidTr="009E35F1">
        <w:tc>
          <w:tcPr>
            <w:tcW w:w="126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Children Fed per Year*</w:t>
            </w:r>
          </w:p>
        </w:tc>
        <w:tc>
          <w:tcPr>
            <w:tcW w:w="117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 xml:space="preserve">Families Fed per Year* </w:t>
            </w:r>
          </w:p>
        </w:tc>
        <w:tc>
          <w:tcPr>
            <w:tcW w:w="153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 xml:space="preserve">Total Individuals Trained* </w:t>
            </w:r>
          </w:p>
        </w:tc>
        <w:tc>
          <w:tcPr>
            <w:tcW w:w="126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Schools Impacted</w:t>
            </w:r>
          </w:p>
        </w:tc>
        <w:tc>
          <w:tcPr>
            <w:tcW w:w="180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Community, School, and Home Gardens Installed</w:t>
            </w:r>
          </w:p>
        </w:tc>
        <w:tc>
          <w:tcPr>
            <w:tcW w:w="144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 xml:space="preserve">Total Individuals Reached* </w:t>
            </w:r>
          </w:p>
        </w:tc>
        <w:tc>
          <w:tcPr>
            <w:tcW w:w="135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 xml:space="preserve">Additional Results </w:t>
            </w:r>
          </w:p>
        </w:tc>
        <w:tc>
          <w:tcPr>
            <w:tcW w:w="1440" w:type="dxa"/>
          </w:tcPr>
          <w:p w:rsidR="00E50D41" w:rsidRDefault="00E50D41" w:rsidP="009E35F1">
            <w:pPr>
              <w:rPr>
                <w:rFonts w:ascii="Garamond" w:hAnsi="Garamond"/>
                <w:b/>
                <w:bCs/>
                <w:color w:val="000000"/>
                <w:sz w:val="20"/>
                <w:szCs w:val="20"/>
              </w:rPr>
            </w:pPr>
            <w:r>
              <w:rPr>
                <w:rFonts w:ascii="Garamond" w:hAnsi="Garamond"/>
                <w:b/>
                <w:bCs/>
                <w:color w:val="000000"/>
                <w:sz w:val="20"/>
                <w:szCs w:val="20"/>
              </w:rPr>
              <w:t>Estimated Meals Provided Per Year*</w:t>
            </w:r>
          </w:p>
        </w:tc>
      </w:tr>
      <w:tr w:rsidR="00E50D41" w:rsidTr="009E35F1">
        <w:trPr>
          <w:trHeight w:val="890"/>
        </w:trPr>
        <w:tc>
          <w:tcPr>
            <w:tcW w:w="1260" w:type="dxa"/>
          </w:tcPr>
          <w:p w:rsidR="00E50D41" w:rsidRDefault="00E50D41" w:rsidP="009E35F1">
            <w:pPr>
              <w:rPr>
                <w:rFonts w:ascii="Georgia" w:hAnsi="Georgia"/>
                <w:b/>
                <w:bCs/>
                <w:color w:val="000000"/>
                <w:sz w:val="20"/>
                <w:szCs w:val="20"/>
              </w:rPr>
            </w:pPr>
            <w:r>
              <w:rPr>
                <w:rFonts w:ascii="Georgia" w:hAnsi="Georgia"/>
                <w:b/>
                <w:bCs/>
                <w:color w:val="000000"/>
                <w:sz w:val="20"/>
                <w:szCs w:val="20"/>
              </w:rPr>
              <w:t>5,700</w:t>
            </w:r>
          </w:p>
        </w:tc>
        <w:tc>
          <w:tcPr>
            <w:tcW w:w="1170" w:type="dxa"/>
          </w:tcPr>
          <w:p w:rsidR="00E50D41" w:rsidRDefault="00E50D41" w:rsidP="009E35F1">
            <w:pPr>
              <w:rPr>
                <w:rFonts w:ascii="Georgia" w:hAnsi="Georgia"/>
                <w:b/>
                <w:bCs/>
                <w:color w:val="000000"/>
                <w:sz w:val="20"/>
                <w:szCs w:val="20"/>
              </w:rPr>
            </w:pPr>
            <w:r>
              <w:rPr>
                <w:rFonts w:ascii="Georgia" w:hAnsi="Georgia"/>
                <w:b/>
                <w:bCs/>
                <w:color w:val="000000"/>
                <w:sz w:val="20"/>
                <w:szCs w:val="20"/>
              </w:rPr>
              <w:t>N/A</w:t>
            </w:r>
          </w:p>
        </w:tc>
        <w:tc>
          <w:tcPr>
            <w:tcW w:w="1530" w:type="dxa"/>
          </w:tcPr>
          <w:p w:rsidR="00E50D41" w:rsidRDefault="00E50D41" w:rsidP="009E35F1">
            <w:pPr>
              <w:rPr>
                <w:rFonts w:ascii="Georgia" w:hAnsi="Georgia"/>
                <w:b/>
                <w:bCs/>
                <w:color w:val="000000"/>
                <w:sz w:val="20"/>
                <w:szCs w:val="20"/>
              </w:rPr>
            </w:pPr>
            <w:r>
              <w:rPr>
                <w:rFonts w:ascii="Georgia" w:hAnsi="Georgia"/>
                <w:b/>
                <w:bCs/>
                <w:color w:val="000000"/>
                <w:sz w:val="20"/>
                <w:szCs w:val="20"/>
              </w:rPr>
              <w:t>350</w:t>
            </w:r>
          </w:p>
        </w:tc>
        <w:tc>
          <w:tcPr>
            <w:tcW w:w="1260" w:type="dxa"/>
          </w:tcPr>
          <w:p w:rsidR="00E50D41" w:rsidRDefault="00E50D41" w:rsidP="009E35F1">
            <w:pPr>
              <w:rPr>
                <w:rFonts w:ascii="Georgia" w:hAnsi="Georgia"/>
                <w:b/>
                <w:bCs/>
                <w:color w:val="000000"/>
                <w:sz w:val="20"/>
                <w:szCs w:val="20"/>
              </w:rPr>
            </w:pPr>
            <w:r>
              <w:rPr>
                <w:rFonts w:ascii="Georgia" w:hAnsi="Georgia"/>
                <w:b/>
                <w:bCs/>
                <w:color w:val="000000"/>
                <w:sz w:val="20"/>
                <w:szCs w:val="20"/>
              </w:rPr>
              <w:t>17</w:t>
            </w:r>
          </w:p>
        </w:tc>
        <w:tc>
          <w:tcPr>
            <w:tcW w:w="1800" w:type="dxa"/>
          </w:tcPr>
          <w:p w:rsidR="00E50D41" w:rsidRDefault="00E50D41" w:rsidP="009E35F1">
            <w:pPr>
              <w:rPr>
                <w:rFonts w:ascii="Georgia" w:hAnsi="Georgia"/>
                <w:b/>
                <w:bCs/>
                <w:color w:val="000000"/>
                <w:sz w:val="20"/>
                <w:szCs w:val="20"/>
              </w:rPr>
            </w:pPr>
            <w:r>
              <w:rPr>
                <w:rFonts w:ascii="Georgia" w:hAnsi="Georgia"/>
                <w:b/>
                <w:bCs/>
                <w:color w:val="000000"/>
                <w:sz w:val="20"/>
                <w:szCs w:val="20"/>
              </w:rPr>
              <w:t>6</w:t>
            </w:r>
          </w:p>
        </w:tc>
        <w:tc>
          <w:tcPr>
            <w:tcW w:w="1440" w:type="dxa"/>
          </w:tcPr>
          <w:p w:rsidR="00E50D41" w:rsidRDefault="00E50D41" w:rsidP="009E35F1">
            <w:pPr>
              <w:rPr>
                <w:rFonts w:ascii="Georgia" w:hAnsi="Georgia"/>
                <w:b/>
                <w:bCs/>
                <w:color w:val="000000"/>
                <w:sz w:val="20"/>
                <w:szCs w:val="20"/>
              </w:rPr>
            </w:pPr>
            <w:r>
              <w:rPr>
                <w:rFonts w:ascii="Georgia" w:hAnsi="Georgia"/>
                <w:b/>
                <w:bCs/>
                <w:color w:val="000000"/>
                <w:sz w:val="20"/>
                <w:szCs w:val="20"/>
              </w:rPr>
              <w:t>2,500</w:t>
            </w:r>
          </w:p>
        </w:tc>
        <w:tc>
          <w:tcPr>
            <w:tcW w:w="1350" w:type="dxa"/>
          </w:tcPr>
          <w:p w:rsidR="00E50D41" w:rsidRDefault="00E50D41" w:rsidP="009E35F1">
            <w:pPr>
              <w:rPr>
                <w:rFonts w:ascii="Georgia" w:hAnsi="Georgia"/>
                <w:b/>
                <w:bCs/>
                <w:color w:val="000000"/>
                <w:sz w:val="20"/>
                <w:szCs w:val="20"/>
              </w:rPr>
            </w:pPr>
          </w:p>
        </w:tc>
        <w:tc>
          <w:tcPr>
            <w:tcW w:w="1440" w:type="dxa"/>
          </w:tcPr>
          <w:p w:rsidR="00E50D41" w:rsidRDefault="00E50D41" w:rsidP="009E35F1">
            <w:pPr>
              <w:rPr>
                <w:rFonts w:ascii="Georgia" w:hAnsi="Georgia"/>
                <w:b/>
                <w:bCs/>
                <w:color w:val="000000"/>
                <w:sz w:val="20"/>
                <w:szCs w:val="20"/>
              </w:rPr>
            </w:pPr>
            <w:r>
              <w:rPr>
                <w:rFonts w:ascii="Georgia" w:hAnsi="Georgia"/>
                <w:b/>
                <w:bCs/>
                <w:color w:val="000000"/>
                <w:sz w:val="20"/>
                <w:szCs w:val="20"/>
              </w:rPr>
              <w:t>14,200</w:t>
            </w:r>
          </w:p>
        </w:tc>
      </w:tr>
    </w:tbl>
    <w:p w:rsidR="000C5E85" w:rsidRPr="00F36476" w:rsidRDefault="00E50D41" w:rsidP="00F36476">
      <w:pPr>
        <w:autoSpaceDE w:val="0"/>
        <w:autoSpaceDN w:val="0"/>
        <w:adjustRightInd w:val="0"/>
        <w:rPr>
          <w:rFonts w:ascii="Garamond" w:hAnsi="Garamond" w:cs="Garamond"/>
        </w:rPr>
      </w:pPr>
      <w:r>
        <w:rPr>
          <w:rFonts w:ascii="Garamond" w:hAnsi="Garamond" w:cs="Garamond"/>
        </w:rPr>
        <w:t xml:space="preserve">*unduplicated </w:t>
      </w:r>
    </w:p>
    <w:sectPr w:rsidR="000C5E85" w:rsidRPr="00F36476" w:rsidSect="001E2321">
      <w:footerReference w:type="default" r:id="rId9"/>
      <w:pgSz w:w="12240" w:h="15840"/>
      <w:pgMar w:top="720"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85" w:rsidRDefault="000C5E85" w:rsidP="00A438C0">
      <w:pPr>
        <w:spacing w:after="0"/>
      </w:pPr>
      <w:r>
        <w:separator/>
      </w:r>
    </w:p>
  </w:endnote>
  <w:endnote w:type="continuationSeparator" w:id="0">
    <w:p w:rsidR="000C5E85" w:rsidRDefault="000C5E85" w:rsidP="00A438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502050306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saraTF-Thin">
    <w:panose1 w:val="02000503060000020003"/>
    <w:charset w:val="00"/>
    <w:family w:val="auto"/>
    <w:pitch w:val="variable"/>
    <w:sig w:usb0="00000003" w:usb1="00000000" w:usb2="00000000" w:usb3="00000000" w:csb0="00000001" w:csb1="00000000"/>
  </w:font>
  <w:font w:name="AbsaraTF-Light">
    <w:panose1 w:val="020005030400000200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85" w:rsidRPr="00902A60" w:rsidRDefault="0082594A" w:rsidP="00DD6FE2">
    <w:pPr>
      <w:pStyle w:val="Footer"/>
      <w:tabs>
        <w:tab w:val="clear" w:pos="9360"/>
        <w:tab w:val="left" w:pos="4965"/>
        <w:tab w:val="left" w:pos="5715"/>
      </w:tabs>
      <w:rPr>
        <w:rFonts w:ascii="AbsaraTF-Thin" w:hAnsi="AbsaraTF-Thin"/>
        <w:b/>
        <w:color w:val="A6A6A6" w:themeColor="background1" w:themeShade="A6"/>
      </w:rPr>
    </w:pPr>
    <w:r w:rsidRPr="0082594A">
      <w:rPr>
        <w:noProof/>
        <w:color w:val="A6A6A6" w:themeColor="background1" w:themeShade="A6"/>
      </w:rPr>
      <w:pict>
        <v:shapetype id="_x0000_t32" coordsize="21600,21600" o:spt="32" o:oned="t" path="m,l21600,21600e" filled="f">
          <v:path arrowok="t" fillok="f" o:connecttype="none"/>
          <o:lock v:ext="edit" shapetype="t"/>
        </v:shapetype>
        <v:shape id="_x0000_s2065" type="#_x0000_t32" style="position:absolute;margin-left:-1.5pt;margin-top:-8.95pt;width:509.1pt;height:0;z-index:251667456;mso-position-horizontal-relative:text;mso-position-vertical-relative:text" o:connectortype="straight" strokecolor="#bfbfbf [2412]" strokeweight="2.25pt"/>
      </w:pict>
    </w:r>
    <w:r w:rsidRPr="0082594A">
      <w:rPr>
        <w:noProof/>
        <w:color w:val="A6A6A6" w:themeColor="background1" w:themeShade="A6"/>
      </w:rPr>
      <w:pict>
        <v:shapetype id="_x0000_t202" coordsize="21600,21600" o:spt="202" path="m,l,21600r21600,l21600,xe">
          <v:stroke joinstyle="miter"/>
          <v:path gradientshapeok="t" o:connecttype="rect"/>
        </v:shapetype>
        <v:shape id="_x0000_s2067" type="#_x0000_t202" style="position:absolute;margin-left:463.5pt;margin-top:-1.85pt;width:52.5pt;height:20.3pt;z-index:251669504;mso-position-horizontal-relative:text;mso-position-vertical-relative:text" stroked="f">
          <v:textbox style="mso-next-textbox:#_x0000_s2067">
            <w:txbxContent>
              <w:p w:rsidR="000C5E85" w:rsidRPr="00711B10" w:rsidRDefault="000C5E85" w:rsidP="00194436">
                <w:pPr>
                  <w:rPr>
                    <w:rFonts w:ascii="AbsaraTF-Light" w:hAnsi="AbsaraTF-Light"/>
                    <w:b/>
                    <w:color w:val="808080" w:themeColor="background1" w:themeShade="80"/>
                    <w:sz w:val="20"/>
                    <w:szCs w:val="20"/>
                  </w:rPr>
                </w:pPr>
                <w:r w:rsidRPr="00711B10">
                  <w:rPr>
                    <w:rFonts w:ascii="AbsaraTF-Light" w:hAnsi="AbsaraTF-Light"/>
                    <w:b/>
                    <w:color w:val="808080" w:themeColor="background1" w:themeShade="80"/>
                    <w:sz w:val="20"/>
                    <w:szCs w:val="20"/>
                  </w:rPr>
                  <w:t xml:space="preserve">Page | </w:t>
                </w:r>
                <w:r w:rsidR="0082594A" w:rsidRPr="00711B10">
                  <w:rPr>
                    <w:rFonts w:ascii="AbsaraTF-Light" w:hAnsi="AbsaraTF-Light"/>
                    <w:b/>
                    <w:color w:val="808080" w:themeColor="background1" w:themeShade="80"/>
                    <w:sz w:val="20"/>
                    <w:szCs w:val="20"/>
                  </w:rPr>
                  <w:fldChar w:fldCharType="begin"/>
                </w:r>
                <w:r w:rsidRPr="00711B10">
                  <w:rPr>
                    <w:rFonts w:ascii="AbsaraTF-Light" w:hAnsi="AbsaraTF-Light"/>
                    <w:b/>
                    <w:color w:val="808080" w:themeColor="background1" w:themeShade="80"/>
                    <w:sz w:val="20"/>
                    <w:szCs w:val="20"/>
                  </w:rPr>
                  <w:instrText xml:space="preserve"> PAGE   \* MERGEFORMAT </w:instrText>
                </w:r>
                <w:r w:rsidR="0082594A" w:rsidRPr="00711B10">
                  <w:rPr>
                    <w:rFonts w:ascii="AbsaraTF-Light" w:hAnsi="AbsaraTF-Light"/>
                    <w:b/>
                    <w:color w:val="808080" w:themeColor="background1" w:themeShade="80"/>
                    <w:sz w:val="20"/>
                    <w:szCs w:val="20"/>
                  </w:rPr>
                  <w:fldChar w:fldCharType="separate"/>
                </w:r>
                <w:r w:rsidR="00F36476">
                  <w:rPr>
                    <w:rFonts w:ascii="AbsaraTF-Light" w:hAnsi="AbsaraTF-Light"/>
                    <w:b/>
                    <w:noProof/>
                    <w:color w:val="808080" w:themeColor="background1" w:themeShade="80"/>
                    <w:sz w:val="20"/>
                    <w:szCs w:val="20"/>
                  </w:rPr>
                  <w:t>2</w:t>
                </w:r>
                <w:r w:rsidR="0082594A" w:rsidRPr="00711B10">
                  <w:rPr>
                    <w:rFonts w:ascii="AbsaraTF-Light" w:hAnsi="AbsaraTF-Light"/>
                    <w:b/>
                    <w:color w:val="808080" w:themeColor="background1" w:themeShade="80"/>
                    <w:sz w:val="20"/>
                    <w:szCs w:val="20"/>
                  </w:rPr>
                  <w:fldChar w:fldCharType="end"/>
                </w:r>
              </w:p>
            </w:txbxContent>
          </v:textbox>
        </v:shape>
      </w:pict>
    </w:r>
    <w:r w:rsidR="000C5E85">
      <w:rPr>
        <w:noProof/>
        <w:color w:val="A6A6A6" w:themeColor="background1" w:themeShade="A6"/>
      </w:rPr>
      <w:drawing>
        <wp:anchor distT="0" distB="0" distL="114300" distR="114300" simplePos="0" relativeHeight="251666432" behindDoc="0" locked="0" layoutInCell="1" allowOverlap="1">
          <wp:simplePos x="0" y="0"/>
          <wp:positionH relativeFrom="column">
            <wp:posOffset>-49530</wp:posOffset>
          </wp:positionH>
          <wp:positionV relativeFrom="paragraph">
            <wp:posOffset>-43815</wp:posOffset>
          </wp:positionV>
          <wp:extent cx="333375" cy="323850"/>
          <wp:effectExtent l="19050" t="0" r="9525" b="0"/>
          <wp:wrapNone/>
          <wp:docPr id="2" name="Picture 2" descr="6 WhyHunger-ID-circ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WhyHunger-ID-circle only.jpg"/>
                  <pic:cNvPicPr/>
                </pic:nvPicPr>
                <pic:blipFill>
                  <a:blip r:embed="rId1" cstate="print"/>
                  <a:stretch>
                    <a:fillRect/>
                  </a:stretch>
                </pic:blipFill>
                <pic:spPr>
                  <a:xfrm>
                    <a:off x="0" y="0"/>
                    <a:ext cx="333375" cy="323850"/>
                  </a:xfrm>
                  <a:prstGeom prst="rect">
                    <a:avLst/>
                  </a:prstGeom>
                </pic:spPr>
              </pic:pic>
            </a:graphicData>
          </a:graphic>
        </wp:anchor>
      </w:drawing>
    </w:r>
    <w:r w:rsidRPr="0082594A">
      <w:rPr>
        <w:noProof/>
        <w:color w:val="A6A6A6" w:themeColor="background1" w:themeShade="A6"/>
      </w:rPr>
      <w:pict>
        <v:shape id="_x0000_s2066" type="#_x0000_t202" style="position:absolute;margin-left:21.75pt;margin-top:-5.6pt;width:183pt;height:35.25pt;z-index:251668480;mso-position-horizontal-relative:text;mso-position-vertical-relative:text" filled="f" fillcolor="#484329 [814]" stroked="f">
          <v:textbox style="mso-next-textbox:#_x0000_s2066">
            <w:txbxContent>
              <w:p w:rsidR="000C5E85" w:rsidRPr="00711B10" w:rsidRDefault="000C5E85" w:rsidP="00194436">
                <w:pPr>
                  <w:spacing w:before="100" w:beforeAutospacing="1" w:after="100" w:afterAutospacing="1"/>
                  <w:rPr>
                    <w:rFonts w:ascii="AbsaraTF-Thin" w:hAnsi="AbsaraTF-Thin" w:cs="Arial"/>
                    <w:i/>
                    <w:color w:val="808080" w:themeColor="background1" w:themeShade="80"/>
                    <w:sz w:val="28"/>
                    <w:szCs w:val="28"/>
                  </w:rPr>
                </w:pPr>
                <w:r w:rsidRPr="00711B10">
                  <w:rPr>
                    <w:rFonts w:ascii="AbsaraTF-Thin" w:hAnsi="AbsaraTF-Thin" w:cs="Arial"/>
                    <w:b/>
                    <w:color w:val="808080" w:themeColor="background1" w:themeShade="80"/>
                  </w:rPr>
                  <w:t>Building Community Power</w:t>
                </w:r>
                <w:r w:rsidRPr="00711B10">
                  <w:rPr>
                    <w:rFonts w:ascii="AbsaraTF-Thin" w:hAnsi="AbsaraTF-Thin" w:cs="Arial"/>
                    <w:b/>
                    <w:color w:val="808080" w:themeColor="background1" w:themeShade="80"/>
                    <w:sz w:val="24"/>
                    <w:szCs w:val="24"/>
                  </w:rPr>
                  <w:br/>
                </w:r>
                <w:r w:rsidRPr="00711B10">
                  <w:rPr>
                    <w:rFonts w:ascii="AbsaraTF-Thin" w:hAnsi="AbsaraTF-Thin" w:cs="Arial"/>
                    <w:i/>
                    <w:color w:val="808080" w:themeColor="background1" w:themeShade="80"/>
                    <w:sz w:val="20"/>
                    <w:szCs w:val="20"/>
                  </w:rPr>
                  <w:t>a Regional Grassroots Action Toolkit</w:t>
                </w:r>
              </w:p>
              <w:p w:rsidR="000C5E85" w:rsidRPr="005F3A99" w:rsidRDefault="000C5E85" w:rsidP="00194436">
                <w:pPr>
                  <w:rPr>
                    <w:color w:val="C4BC96" w:themeColor="background2" w:themeShade="BF"/>
                  </w:rPr>
                </w:pPr>
              </w:p>
            </w:txbxContent>
          </v:textbox>
        </v:shape>
      </w:pict>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r w:rsidR="000C5E85">
      <w:rPr>
        <w:color w:val="A6A6A6" w:themeColor="background1" w:themeShade="A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85" w:rsidRDefault="000C5E85" w:rsidP="00A438C0">
      <w:pPr>
        <w:spacing w:after="0"/>
      </w:pPr>
      <w:r>
        <w:separator/>
      </w:r>
    </w:p>
  </w:footnote>
  <w:footnote w:type="continuationSeparator" w:id="0">
    <w:p w:rsidR="000C5E85" w:rsidRDefault="000C5E85" w:rsidP="00A438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C9EC38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65F12E3"/>
    <w:multiLevelType w:val="hybridMultilevel"/>
    <w:tmpl w:val="93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842622"/>
    <w:multiLevelType w:val="hybridMultilevel"/>
    <w:tmpl w:val="9D6E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3E0B2F"/>
    <w:multiLevelType w:val="hybridMultilevel"/>
    <w:tmpl w:val="77849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E28146D"/>
    <w:multiLevelType w:val="hybridMultilevel"/>
    <w:tmpl w:val="22906DB8"/>
    <w:lvl w:ilvl="0" w:tplc="04090001">
      <w:start w:val="1"/>
      <w:numFmt w:val="bullet"/>
      <w:lvlText w:val=""/>
      <w:lvlJc w:val="left"/>
      <w:pPr>
        <w:ind w:left="2682" w:hanging="360"/>
      </w:pPr>
      <w:rPr>
        <w:rFonts w:ascii="Symbol" w:hAnsi="Symbol" w:hint="default"/>
      </w:rPr>
    </w:lvl>
    <w:lvl w:ilvl="1" w:tplc="04090003" w:tentative="1">
      <w:start w:val="1"/>
      <w:numFmt w:val="bullet"/>
      <w:lvlText w:val="o"/>
      <w:lvlJc w:val="left"/>
      <w:pPr>
        <w:ind w:left="3402" w:hanging="360"/>
      </w:pPr>
      <w:rPr>
        <w:rFonts w:ascii="Courier New" w:hAnsi="Courier New" w:cs="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cs="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cs="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29">
    <w:nsid w:val="1FAF21F1"/>
    <w:multiLevelType w:val="hybridMultilevel"/>
    <w:tmpl w:val="A1A82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351F8B"/>
    <w:multiLevelType w:val="hybridMultilevel"/>
    <w:tmpl w:val="AE2C7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F90420"/>
    <w:multiLevelType w:val="hybridMultilevel"/>
    <w:tmpl w:val="CDDC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66C23"/>
    <w:multiLevelType w:val="hybridMultilevel"/>
    <w:tmpl w:val="9C34D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B46AB2"/>
    <w:multiLevelType w:val="hybridMultilevel"/>
    <w:tmpl w:val="FB9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D7844"/>
    <w:multiLevelType w:val="hybridMultilevel"/>
    <w:tmpl w:val="373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66981"/>
    <w:multiLevelType w:val="hybridMultilevel"/>
    <w:tmpl w:val="B4A800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31A78"/>
    <w:multiLevelType w:val="hybridMultilevel"/>
    <w:tmpl w:val="B01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53A98"/>
    <w:multiLevelType w:val="hybridMultilevel"/>
    <w:tmpl w:val="32DEE4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0"/>
  </w:num>
  <w:num w:numId="29">
    <w:abstractNumId w:val="35"/>
  </w:num>
  <w:num w:numId="30">
    <w:abstractNumId w:val="37"/>
  </w:num>
  <w:num w:numId="31">
    <w:abstractNumId w:val="30"/>
  </w:num>
  <w:num w:numId="32">
    <w:abstractNumId w:val="33"/>
  </w:num>
  <w:num w:numId="33">
    <w:abstractNumId w:val="34"/>
  </w:num>
  <w:num w:numId="34">
    <w:abstractNumId w:val="26"/>
  </w:num>
  <w:num w:numId="35">
    <w:abstractNumId w:val="31"/>
  </w:num>
  <w:num w:numId="36">
    <w:abstractNumId w:val="32"/>
  </w:num>
  <w:num w:numId="37">
    <w:abstractNumId w:val="25"/>
  </w:num>
  <w:num w:numId="38">
    <w:abstractNumId w:val="3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630"/>
      <o:colormenu v:ext="edit" fillcolor="none" strokecolor="none [2412]" shadowcolor="#630"/>
    </o:shapedefaults>
    <o:shapelayout v:ext="edit">
      <o:idmap v:ext="edit" data="2"/>
      <o:rules v:ext="edit">
        <o:r id="V:Rule2" type="connector" idref="#_x0000_s2065"/>
      </o:rules>
    </o:shapelayout>
  </w:hdrShapeDefaults>
  <w:footnotePr>
    <w:footnote w:id="-1"/>
    <w:footnote w:id="0"/>
  </w:footnotePr>
  <w:endnotePr>
    <w:endnote w:id="-1"/>
    <w:endnote w:id="0"/>
  </w:endnotePr>
  <w:compat/>
  <w:rsids>
    <w:rsidRoot w:val="00FC3A60"/>
    <w:rsid w:val="00024562"/>
    <w:rsid w:val="00027AB6"/>
    <w:rsid w:val="000324EA"/>
    <w:rsid w:val="00042AE7"/>
    <w:rsid w:val="000459B0"/>
    <w:rsid w:val="000537ED"/>
    <w:rsid w:val="0006415B"/>
    <w:rsid w:val="00064CC4"/>
    <w:rsid w:val="000848D5"/>
    <w:rsid w:val="000C5E85"/>
    <w:rsid w:val="000E4211"/>
    <w:rsid w:val="0014595A"/>
    <w:rsid w:val="001520A4"/>
    <w:rsid w:val="001622E2"/>
    <w:rsid w:val="0017591B"/>
    <w:rsid w:val="00181C11"/>
    <w:rsid w:val="00194436"/>
    <w:rsid w:val="001A1B60"/>
    <w:rsid w:val="001C24A5"/>
    <w:rsid w:val="001E2321"/>
    <w:rsid w:val="001F095B"/>
    <w:rsid w:val="001F6500"/>
    <w:rsid w:val="00203F6C"/>
    <w:rsid w:val="0027066C"/>
    <w:rsid w:val="002A360E"/>
    <w:rsid w:val="002D4466"/>
    <w:rsid w:val="002E7F57"/>
    <w:rsid w:val="002F3919"/>
    <w:rsid w:val="00306319"/>
    <w:rsid w:val="003427C2"/>
    <w:rsid w:val="00345A63"/>
    <w:rsid w:val="00351DE4"/>
    <w:rsid w:val="00362906"/>
    <w:rsid w:val="00370A6F"/>
    <w:rsid w:val="003824AF"/>
    <w:rsid w:val="00393A11"/>
    <w:rsid w:val="003A7777"/>
    <w:rsid w:val="003E335F"/>
    <w:rsid w:val="003E4288"/>
    <w:rsid w:val="00420850"/>
    <w:rsid w:val="0044795D"/>
    <w:rsid w:val="00483D07"/>
    <w:rsid w:val="00487B6E"/>
    <w:rsid w:val="004A64EB"/>
    <w:rsid w:val="004A6CA1"/>
    <w:rsid w:val="004C6EB2"/>
    <w:rsid w:val="004D7EB1"/>
    <w:rsid w:val="004E0502"/>
    <w:rsid w:val="00507866"/>
    <w:rsid w:val="0052348E"/>
    <w:rsid w:val="00526731"/>
    <w:rsid w:val="005320C4"/>
    <w:rsid w:val="0055041B"/>
    <w:rsid w:val="0055326B"/>
    <w:rsid w:val="00564E40"/>
    <w:rsid w:val="005A256A"/>
    <w:rsid w:val="005C40F3"/>
    <w:rsid w:val="005D3C04"/>
    <w:rsid w:val="005F0B15"/>
    <w:rsid w:val="005F3A99"/>
    <w:rsid w:val="006018ED"/>
    <w:rsid w:val="0061094D"/>
    <w:rsid w:val="00610C76"/>
    <w:rsid w:val="006201C9"/>
    <w:rsid w:val="00666390"/>
    <w:rsid w:val="00667215"/>
    <w:rsid w:val="00670D66"/>
    <w:rsid w:val="0067283C"/>
    <w:rsid w:val="006859A3"/>
    <w:rsid w:val="00691549"/>
    <w:rsid w:val="00691B68"/>
    <w:rsid w:val="006960E3"/>
    <w:rsid w:val="00696AB3"/>
    <w:rsid w:val="006A1234"/>
    <w:rsid w:val="006A56E4"/>
    <w:rsid w:val="006B1064"/>
    <w:rsid w:val="006B6190"/>
    <w:rsid w:val="006D0B41"/>
    <w:rsid w:val="006D1C0C"/>
    <w:rsid w:val="006D65D9"/>
    <w:rsid w:val="006E50DD"/>
    <w:rsid w:val="006E76BB"/>
    <w:rsid w:val="006F3FEC"/>
    <w:rsid w:val="00711B10"/>
    <w:rsid w:val="007674F2"/>
    <w:rsid w:val="00790EAC"/>
    <w:rsid w:val="007954C3"/>
    <w:rsid w:val="007A2DF3"/>
    <w:rsid w:val="007B2786"/>
    <w:rsid w:val="007B45F7"/>
    <w:rsid w:val="0080644B"/>
    <w:rsid w:val="0082594A"/>
    <w:rsid w:val="0082620A"/>
    <w:rsid w:val="0088462C"/>
    <w:rsid w:val="00893CFF"/>
    <w:rsid w:val="008B6F11"/>
    <w:rsid w:val="008C6167"/>
    <w:rsid w:val="00902A60"/>
    <w:rsid w:val="00951502"/>
    <w:rsid w:val="009607D4"/>
    <w:rsid w:val="00973218"/>
    <w:rsid w:val="009C3AAC"/>
    <w:rsid w:val="00A036D5"/>
    <w:rsid w:val="00A22427"/>
    <w:rsid w:val="00A404B6"/>
    <w:rsid w:val="00A438C0"/>
    <w:rsid w:val="00A80DA0"/>
    <w:rsid w:val="00A81A38"/>
    <w:rsid w:val="00A86985"/>
    <w:rsid w:val="00AA1900"/>
    <w:rsid w:val="00AB2848"/>
    <w:rsid w:val="00AB7CDB"/>
    <w:rsid w:val="00AE3D03"/>
    <w:rsid w:val="00AF0427"/>
    <w:rsid w:val="00B00CD3"/>
    <w:rsid w:val="00B06487"/>
    <w:rsid w:val="00B11FAA"/>
    <w:rsid w:val="00B42CC0"/>
    <w:rsid w:val="00B91745"/>
    <w:rsid w:val="00BC3CC5"/>
    <w:rsid w:val="00BD5BC4"/>
    <w:rsid w:val="00BE61BA"/>
    <w:rsid w:val="00BF5BA8"/>
    <w:rsid w:val="00C27E51"/>
    <w:rsid w:val="00C338CF"/>
    <w:rsid w:val="00C47C67"/>
    <w:rsid w:val="00C60DC3"/>
    <w:rsid w:val="00C66E18"/>
    <w:rsid w:val="00CA76F3"/>
    <w:rsid w:val="00CD3DF7"/>
    <w:rsid w:val="00CD5364"/>
    <w:rsid w:val="00CF489C"/>
    <w:rsid w:val="00D06A7D"/>
    <w:rsid w:val="00D32D4D"/>
    <w:rsid w:val="00D504B6"/>
    <w:rsid w:val="00D63DD4"/>
    <w:rsid w:val="00D94CD7"/>
    <w:rsid w:val="00D95164"/>
    <w:rsid w:val="00DA7CD7"/>
    <w:rsid w:val="00DC2FC3"/>
    <w:rsid w:val="00DC451F"/>
    <w:rsid w:val="00DD6FE2"/>
    <w:rsid w:val="00E304B6"/>
    <w:rsid w:val="00E50D41"/>
    <w:rsid w:val="00E845FC"/>
    <w:rsid w:val="00E86A93"/>
    <w:rsid w:val="00E9449B"/>
    <w:rsid w:val="00F070E2"/>
    <w:rsid w:val="00F110C6"/>
    <w:rsid w:val="00F32B49"/>
    <w:rsid w:val="00F343EA"/>
    <w:rsid w:val="00F36476"/>
    <w:rsid w:val="00F412F5"/>
    <w:rsid w:val="00F56581"/>
    <w:rsid w:val="00F73318"/>
    <w:rsid w:val="00F87F62"/>
    <w:rsid w:val="00F9704B"/>
    <w:rsid w:val="00FC3A60"/>
    <w:rsid w:val="00FC58D6"/>
    <w:rsid w:val="00FE1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630"/>
      <o:colormenu v:ext="edit" fillcolor="none" strokecolor="none [2412]" shadowcolor="#63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CD7"/>
    <w:rPr>
      <w:color w:val="0000FF"/>
      <w:u w:val="single"/>
    </w:rPr>
  </w:style>
  <w:style w:type="paragraph" w:styleId="NormalWeb">
    <w:name w:val="Normal (Web)"/>
    <w:basedOn w:val="Normal"/>
    <w:uiPriority w:val="99"/>
    <w:semiHidden/>
    <w:unhideWhenUsed/>
    <w:rsid w:val="00D94CD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1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C6"/>
    <w:rPr>
      <w:rFonts w:ascii="Tahoma" w:hAnsi="Tahoma" w:cs="Tahoma"/>
      <w:sz w:val="16"/>
      <w:szCs w:val="16"/>
    </w:rPr>
  </w:style>
  <w:style w:type="paragraph" w:styleId="Header">
    <w:name w:val="header"/>
    <w:basedOn w:val="Normal"/>
    <w:link w:val="HeaderChar"/>
    <w:uiPriority w:val="99"/>
    <w:unhideWhenUsed/>
    <w:rsid w:val="00A438C0"/>
    <w:pPr>
      <w:tabs>
        <w:tab w:val="center" w:pos="4680"/>
        <w:tab w:val="right" w:pos="9360"/>
      </w:tabs>
      <w:spacing w:after="0"/>
    </w:pPr>
  </w:style>
  <w:style w:type="character" w:customStyle="1" w:styleId="HeaderChar">
    <w:name w:val="Header Char"/>
    <w:basedOn w:val="DefaultParagraphFont"/>
    <w:link w:val="Header"/>
    <w:uiPriority w:val="99"/>
    <w:rsid w:val="00A438C0"/>
  </w:style>
  <w:style w:type="paragraph" w:styleId="Footer">
    <w:name w:val="footer"/>
    <w:basedOn w:val="Normal"/>
    <w:link w:val="FooterChar"/>
    <w:uiPriority w:val="99"/>
    <w:unhideWhenUsed/>
    <w:rsid w:val="00A438C0"/>
    <w:pPr>
      <w:tabs>
        <w:tab w:val="center" w:pos="4680"/>
        <w:tab w:val="right" w:pos="9360"/>
      </w:tabs>
      <w:spacing w:after="0"/>
    </w:pPr>
  </w:style>
  <w:style w:type="character" w:customStyle="1" w:styleId="FooterChar">
    <w:name w:val="Footer Char"/>
    <w:basedOn w:val="DefaultParagraphFont"/>
    <w:link w:val="Footer"/>
    <w:uiPriority w:val="99"/>
    <w:rsid w:val="00A438C0"/>
  </w:style>
  <w:style w:type="paragraph" w:styleId="ListParagraph">
    <w:name w:val="List Paragraph"/>
    <w:basedOn w:val="Normal"/>
    <w:qFormat/>
    <w:rsid w:val="00345A63"/>
    <w:pPr>
      <w:ind w:left="720"/>
      <w:contextualSpacing/>
    </w:pPr>
  </w:style>
  <w:style w:type="table" w:styleId="TableGrid">
    <w:name w:val="Table Grid"/>
    <w:basedOn w:val="TableNormal"/>
    <w:uiPriority w:val="59"/>
    <w:rsid w:val="00345A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256A"/>
    <w:rPr>
      <w:sz w:val="16"/>
      <w:szCs w:val="16"/>
    </w:rPr>
  </w:style>
  <w:style w:type="paragraph" w:styleId="CommentText">
    <w:name w:val="annotation text"/>
    <w:basedOn w:val="Normal"/>
    <w:link w:val="CommentTextChar"/>
    <w:uiPriority w:val="99"/>
    <w:semiHidden/>
    <w:unhideWhenUsed/>
    <w:rsid w:val="005A256A"/>
    <w:rPr>
      <w:sz w:val="20"/>
      <w:szCs w:val="20"/>
    </w:rPr>
  </w:style>
  <w:style w:type="character" w:customStyle="1" w:styleId="CommentTextChar">
    <w:name w:val="Comment Text Char"/>
    <w:basedOn w:val="DefaultParagraphFont"/>
    <w:link w:val="CommentText"/>
    <w:uiPriority w:val="99"/>
    <w:semiHidden/>
    <w:rsid w:val="005A256A"/>
    <w:rPr>
      <w:sz w:val="20"/>
      <w:szCs w:val="20"/>
    </w:rPr>
  </w:style>
  <w:style w:type="paragraph" w:styleId="CommentSubject">
    <w:name w:val="annotation subject"/>
    <w:basedOn w:val="CommentText"/>
    <w:next w:val="CommentText"/>
    <w:link w:val="CommentSubjectChar"/>
    <w:uiPriority w:val="99"/>
    <w:semiHidden/>
    <w:unhideWhenUsed/>
    <w:rsid w:val="005A256A"/>
    <w:rPr>
      <w:b/>
      <w:bCs/>
    </w:rPr>
  </w:style>
  <w:style w:type="character" w:customStyle="1" w:styleId="CommentSubjectChar">
    <w:name w:val="Comment Subject Char"/>
    <w:basedOn w:val="CommentTextChar"/>
    <w:link w:val="CommentSubject"/>
    <w:uiPriority w:val="99"/>
    <w:semiHidden/>
    <w:rsid w:val="005A256A"/>
    <w:rPr>
      <w:b/>
      <w:bCs/>
    </w:rPr>
  </w:style>
</w:styles>
</file>

<file path=word/webSettings.xml><?xml version="1.0" encoding="utf-8"?>
<w:webSettings xmlns:r="http://schemas.openxmlformats.org/officeDocument/2006/relationships" xmlns:w="http://schemas.openxmlformats.org/wordprocessingml/2006/main">
  <w:divs>
    <w:div w:id="12534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ABD1-4A11-4CD7-9CE7-319FE4FB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brooke</cp:lastModifiedBy>
  <cp:revision>3</cp:revision>
  <cp:lastPrinted>2013-02-22T21:42:00Z</cp:lastPrinted>
  <dcterms:created xsi:type="dcterms:W3CDTF">2013-12-03T18:31:00Z</dcterms:created>
  <dcterms:modified xsi:type="dcterms:W3CDTF">2013-12-03T18:35:00Z</dcterms:modified>
</cp:coreProperties>
</file>